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92A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92A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92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9792A" w:rsidRPr="0079792A" w:rsidRDefault="0079792A" w:rsidP="0079792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92A" w:rsidRPr="0079792A" w:rsidRDefault="00E82AEF" w:rsidP="0079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51</w:t>
      </w:r>
    </w:p>
    <w:p w:rsidR="0079792A" w:rsidRPr="0079792A" w:rsidRDefault="0079792A" w:rsidP="007979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 xml:space="preserve">Об информации о ходе реализации 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Ханты-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«Подготовка 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перспективных территорий для развития 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жилищного строительства Ханты-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Мансийского района на 2019-2023 годы»</w:t>
      </w:r>
    </w:p>
    <w:p w:rsidR="0079792A" w:rsidRPr="0079792A" w:rsidRDefault="0079792A" w:rsidP="00797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по состоянию на 1 декабря 2021 года</w:t>
      </w:r>
    </w:p>
    <w:p w:rsidR="0079792A" w:rsidRPr="0079792A" w:rsidRDefault="0079792A" w:rsidP="0079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92A" w:rsidRPr="0079792A" w:rsidRDefault="0079792A" w:rsidP="00797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9792A">
        <w:rPr>
          <w:rFonts w:ascii="Times New Roman" w:eastAsia="Calibri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района от 06.09.2016 № 615, заслушав информацию о ходе 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2019-2023 годы» по состоянию на 1 декабря 2021 года,</w:t>
      </w:r>
      <w:proofErr w:type="gramEnd"/>
      <w:r w:rsidRPr="0079792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частью 1 статьи 31 Устава Ханты</w:t>
      </w:r>
      <w:r w:rsidRPr="0079792A">
        <w:rPr>
          <w:rFonts w:ascii="Times New Roman" w:hAnsi="Times New Roman" w:cs="Times New Roman"/>
          <w:color w:val="000000"/>
          <w:sz w:val="28"/>
          <w:szCs w:val="28"/>
        </w:rPr>
        <w:t>-Мансийского района,</w:t>
      </w:r>
    </w:p>
    <w:p w:rsidR="0079792A" w:rsidRPr="0079792A" w:rsidRDefault="0079792A" w:rsidP="0079792A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</w:p>
    <w:p w:rsidR="0079792A" w:rsidRPr="0079792A" w:rsidRDefault="0079792A" w:rsidP="007979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79792A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9792A" w:rsidRPr="0079792A" w:rsidRDefault="0079792A" w:rsidP="007979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2A" w:rsidRPr="0079792A" w:rsidRDefault="0079792A" w:rsidP="0079792A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2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9792A" w:rsidRPr="0079792A" w:rsidRDefault="0079792A" w:rsidP="0079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792A" w:rsidRPr="0079792A" w:rsidRDefault="0079792A" w:rsidP="0079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 информацию о ходе реализации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2019-2023 годы» по состоянию на 1 декабря 2021 года согласно приложению к настоящему решению.</w:t>
      </w:r>
    </w:p>
    <w:p w:rsidR="0079792A" w:rsidRPr="0079792A" w:rsidRDefault="0079792A" w:rsidP="0079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92A" w:rsidRPr="0079792A" w:rsidRDefault="0079792A" w:rsidP="007979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92A" w:rsidRPr="0079792A" w:rsidRDefault="0079792A" w:rsidP="0079792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9792A">
        <w:rPr>
          <w:rFonts w:ascii="Times New Roman" w:eastAsia="Calibri" w:hAnsi="Times New Roman" w:cs="Times New Roman"/>
          <w:bCs/>
          <w:sz w:val="28"/>
          <w:szCs w:val="28"/>
        </w:rPr>
        <w:tab/>
        <w:t>Е.А. Данилова</w:t>
      </w:r>
    </w:p>
    <w:p w:rsidR="0079792A" w:rsidRPr="0079792A" w:rsidRDefault="0079792A" w:rsidP="007979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792A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</w:p>
    <w:p w:rsidR="0079792A" w:rsidRPr="0079792A" w:rsidRDefault="00E82AEF" w:rsidP="0079792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23.12.2021</w:t>
      </w:r>
    </w:p>
    <w:p w:rsidR="00C5043C" w:rsidRDefault="00C5043C"/>
    <w:p w:rsidR="00C5043C" w:rsidRDefault="00C5043C"/>
    <w:p w:rsidR="00C5043C" w:rsidRDefault="00C5043C"/>
    <w:p w:rsidR="0076189D" w:rsidRDefault="0076189D" w:rsidP="0005713F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5713F" w:rsidRPr="0005713F" w:rsidRDefault="0005713F" w:rsidP="0005713F">
      <w:pPr>
        <w:tabs>
          <w:tab w:val="left" w:pos="4678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571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5713F" w:rsidRPr="0005713F" w:rsidRDefault="0005713F" w:rsidP="00057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13F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5713F" w:rsidRPr="0005713F" w:rsidRDefault="0005713F" w:rsidP="00057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13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5713F" w:rsidRPr="0005713F" w:rsidRDefault="00E82AEF" w:rsidP="00057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17.12.2021 № 51</w:t>
      </w:r>
      <w:bookmarkStart w:id="0" w:name="_GoBack"/>
      <w:bookmarkEnd w:id="0"/>
    </w:p>
    <w:p w:rsidR="0005713F" w:rsidRPr="0005713F" w:rsidRDefault="0005713F" w:rsidP="00057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713F" w:rsidRPr="0005713F" w:rsidRDefault="0005713F" w:rsidP="000571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05713F" w:rsidRPr="0005713F" w:rsidRDefault="0005713F" w:rsidP="000571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13F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r w:rsidRPr="0005713F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«</w:t>
      </w:r>
      <w:r w:rsidRPr="0005713F">
        <w:rPr>
          <w:rFonts w:ascii="Times New Roman" w:hAnsi="Times New Roman" w:cs="Times New Roman"/>
          <w:sz w:val="28"/>
          <w:szCs w:val="28"/>
        </w:rPr>
        <w:t>Подготовка перспективных территорий для развития жилищного строительства Хан</w:t>
      </w:r>
      <w:r w:rsidR="0076189D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05713F">
        <w:rPr>
          <w:rFonts w:ascii="Times New Roman" w:hAnsi="Times New Roman" w:cs="Times New Roman"/>
          <w:sz w:val="28"/>
          <w:szCs w:val="28"/>
        </w:rPr>
        <w:t>2023 годы</w:t>
      </w:r>
      <w:r w:rsidRPr="0005713F">
        <w:rPr>
          <w:rFonts w:ascii="Times New Roman" w:hAnsi="Times New Roman" w:cs="Times New Roman"/>
          <w:color w:val="000000"/>
          <w:sz w:val="28"/>
          <w:szCs w:val="28"/>
        </w:rPr>
        <w:t>» по состоянию</w:t>
      </w:r>
    </w:p>
    <w:p w:rsidR="0005713F" w:rsidRPr="0005713F" w:rsidRDefault="0005713F" w:rsidP="00057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13F">
        <w:rPr>
          <w:rFonts w:ascii="Times New Roman" w:hAnsi="Times New Roman" w:cs="Times New Roman"/>
          <w:color w:val="000000"/>
          <w:sz w:val="28"/>
          <w:szCs w:val="28"/>
        </w:rPr>
        <w:t xml:space="preserve"> на 1 декабря 2021 года</w:t>
      </w:r>
    </w:p>
    <w:p w:rsidR="0005713F" w:rsidRPr="0005713F" w:rsidRDefault="0005713F" w:rsidP="0005713F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13F">
        <w:rPr>
          <w:rFonts w:ascii="Times New Roman" w:hAnsi="Times New Roman" w:cs="Times New Roman"/>
          <w:sz w:val="28"/>
          <w:szCs w:val="28"/>
        </w:rPr>
        <w:t>Муниципальная программа Ханты-Мансийского района «Подготовка перспективных территорий для развития жилищного строительства Хан</w:t>
      </w:r>
      <w:r w:rsidR="0076189D">
        <w:rPr>
          <w:rFonts w:ascii="Times New Roman" w:hAnsi="Times New Roman" w:cs="Times New Roman"/>
          <w:sz w:val="28"/>
          <w:szCs w:val="28"/>
        </w:rPr>
        <w:t>ты-Мансийского района на 2019-</w:t>
      </w:r>
      <w:r w:rsidRPr="0005713F">
        <w:rPr>
          <w:rFonts w:ascii="Times New Roman" w:hAnsi="Times New Roman" w:cs="Times New Roman"/>
          <w:sz w:val="28"/>
          <w:szCs w:val="28"/>
        </w:rPr>
        <w:t>2023 годы» (далее – Программа) разработана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Программа направлена на создание условий для увеличения объемов жилищного строительства с целью обеспечения жильем граждан, проживающих на территории Ханты-Мансийского района.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2021 году предусмотрена реализация следующих основных мероприятий: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1. Подготовка документации по планировке и межеванию территорий сельских поселений и населенных пунктов Ханты-Мансийского района;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2. Внесение изменений в генеральные планы и правила землепользования и застройки населенных пунктов Ханты-Мансийского района.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Программы на 2021 год составляет 4 578,0 тыс. рублей, из них 3 585,7 тыс. рублей – из бюджета автономного округа, 992,3 тыс. рублей – из бюджета района. Фактическое исполнение составляет 990,0 тыс. рублей (21,6% от плана на 2021 год).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в 2021 предусмотрена реализация следующих мероприятий: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Основное мероприятие Программы «Подготовка документации по планировке и межеванию территорий сельских поселений и населенных пунктов Ханты-Мансийского района» направлено на формирование на территории Ханты-Мансийского района условий для стимулирования застройщиков к реализации проектов жилищного строительства.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05713F" w:rsidRPr="0005713F" w:rsidRDefault="0005713F" w:rsidP="00057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13F">
        <w:rPr>
          <w:rFonts w:ascii="Times New Roman" w:eastAsia="Calibri" w:hAnsi="Times New Roman" w:cs="Times New Roman"/>
          <w:sz w:val="28"/>
          <w:szCs w:val="28"/>
        </w:rPr>
        <w:t xml:space="preserve">- «Подготовка документации по планировке и межеванию СП </w:t>
      </w:r>
      <w:proofErr w:type="spellStart"/>
      <w:r w:rsidRPr="0005713F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05713F">
        <w:rPr>
          <w:rFonts w:ascii="Times New Roman" w:eastAsia="Calibri" w:hAnsi="Times New Roman" w:cs="Times New Roman"/>
          <w:sz w:val="28"/>
          <w:szCs w:val="28"/>
        </w:rPr>
        <w:t xml:space="preserve"> (п. </w:t>
      </w:r>
      <w:proofErr w:type="spellStart"/>
      <w:r w:rsidRPr="0005713F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05713F">
        <w:rPr>
          <w:rFonts w:ascii="Times New Roman" w:eastAsia="Calibri" w:hAnsi="Times New Roman" w:cs="Times New Roman"/>
          <w:sz w:val="28"/>
          <w:szCs w:val="28"/>
        </w:rPr>
        <w:t xml:space="preserve">, п. Бобровский, д. </w:t>
      </w:r>
      <w:proofErr w:type="spellStart"/>
      <w:r w:rsidRPr="0005713F">
        <w:rPr>
          <w:rFonts w:ascii="Times New Roman" w:eastAsia="Calibri" w:hAnsi="Times New Roman" w:cs="Times New Roman"/>
          <w:sz w:val="28"/>
          <w:szCs w:val="28"/>
        </w:rPr>
        <w:t>Лугофилинская</w:t>
      </w:r>
      <w:proofErr w:type="spellEnd"/>
      <w:r w:rsidRPr="0005713F">
        <w:rPr>
          <w:rFonts w:ascii="Times New Roman" w:eastAsia="Calibri" w:hAnsi="Times New Roman" w:cs="Times New Roman"/>
          <w:sz w:val="28"/>
          <w:szCs w:val="28"/>
        </w:rPr>
        <w:t>)». Муниципальный контракт от 04.02.2019 на сумму 990,0 тыс. рублей. Работы по мероприятию выполнены в полном объеме.</w:t>
      </w:r>
    </w:p>
    <w:p w:rsidR="00C5043C" w:rsidRDefault="00C5043C"/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lastRenderedPageBreak/>
        <w:t>Основное мероприятие Программы «Внесение изменений в генеральные планы и правила землепользования и застройки населенных пунктов Ханты-Мансийского района» направлено на приведение генеральных планов и правил землепользования и застройки сельских поселений Ханты-Мансийского района в соответствие с действующим законодательством Российской Федерации.</w:t>
      </w:r>
    </w:p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>В рамках данного основного мероприятия предусмотрена реализация следующих мероприятий:</w:t>
      </w:r>
    </w:p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 (п.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>, с. Тюли)». По мероприятию заключен муниципальный контракт от 09.02.2021 на сумму 135,3 тыс. рублей.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выполнены. Ведется работа по согласованию документации с федеральными и региональными органами исполнительной власти. Для устранения замечаний, полученных в ходе согласования документации, создана согласительная комиссия по устранению замечаний, которая рассматривает данные замечания и примет меры по их решению. Срок выполнения работ по ко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нтракту </w:t>
      </w:r>
      <w:r w:rsidRPr="005056B9">
        <w:rPr>
          <w:rFonts w:ascii="Times New Roman" w:eastAsia="Calibri" w:hAnsi="Times New Roman" w:cs="Times New Roman"/>
          <w:sz w:val="28"/>
          <w:szCs w:val="28"/>
        </w:rPr>
        <w:t>31.12.2021.</w:t>
      </w:r>
    </w:p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 (п.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Горноправдинск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, п. Бобровский, д.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Лугофилинская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>)». По мероприятию заключен муниципальный контракт от 09.02.2021 на сумму 336,4 тыс. рублей.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выполнены. Ведется работа по согласованию документации с федеральными и региональными органами исполнительной власти. Для устранения замечаний, полученных в ходе согласования документации, создана согласительная комиссия по устранению замечаний, которая рассматривает данные замечания и примет меры по их решению. Срок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 по контракту</w:t>
      </w:r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 31.12.2021.</w:t>
      </w:r>
    </w:p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Нялино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>)». По мероприятию заключен муниципальный контракт от 09.02.2021 на сумму 366,5 тыс. рублей. Ведется работа по согласованию документации с федеральными и региональными органами исполнительной власти. Работы планируется выполнить в 2022 году.</w:t>
      </w:r>
    </w:p>
    <w:p w:rsidR="005056B9" w:rsidRPr="005056B9" w:rsidRDefault="005056B9" w:rsidP="006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СП Шапша (д. Шапша, д. Ярки, с. </w:t>
      </w:r>
      <w:proofErr w:type="spellStart"/>
      <w:r w:rsidRPr="005056B9">
        <w:rPr>
          <w:rFonts w:ascii="Times New Roman" w:eastAsia="Calibri" w:hAnsi="Times New Roman" w:cs="Times New Roman"/>
          <w:sz w:val="28"/>
          <w:szCs w:val="28"/>
        </w:rPr>
        <w:t>Зенково</w:t>
      </w:r>
      <w:proofErr w:type="spellEnd"/>
      <w:r w:rsidRPr="005056B9">
        <w:rPr>
          <w:rFonts w:ascii="Times New Roman" w:eastAsia="Calibri" w:hAnsi="Times New Roman" w:cs="Times New Roman"/>
          <w:sz w:val="28"/>
          <w:szCs w:val="28"/>
        </w:rPr>
        <w:t xml:space="preserve">)». По мероприятию заключен муниципальный контракт от 22.03.2021 на сумму 299,6 тыс. рублей.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выполнены. Ведется работа по согласованию документации с федеральными и региональными органами исполнительной власти. Для устранения замечаний, полученных в ходе согласования документации, создана согласительная комиссия по устранению замечаний, которая рассматривает данные замечания и примет меры по их решению. Срок 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выполнения работ по контракту </w:t>
      </w:r>
      <w:r w:rsidRPr="005056B9">
        <w:rPr>
          <w:rFonts w:ascii="Times New Roman" w:eastAsia="Calibri" w:hAnsi="Times New Roman" w:cs="Times New Roman"/>
          <w:sz w:val="28"/>
          <w:szCs w:val="28"/>
        </w:rPr>
        <w:t>31.12.2021.</w:t>
      </w:r>
    </w:p>
    <w:p w:rsidR="001062A1" w:rsidRPr="0076189D" w:rsidRDefault="005056B9" w:rsidP="007618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56B9">
        <w:rPr>
          <w:rFonts w:ascii="Times New Roman" w:eastAsia="Calibri" w:hAnsi="Times New Roman" w:cs="Times New Roman"/>
          <w:sz w:val="28"/>
          <w:szCs w:val="28"/>
        </w:rPr>
        <w:t>- «Внесение изменений в генеральные планы и правила землепользования и застройки населенных пунктов Ханты-Мансийского района: сельское поселение</w:t>
      </w:r>
      <w:r w:rsidR="0076189D">
        <w:rPr>
          <w:rFonts w:ascii="Times New Roman" w:hAnsi="Times New Roman" w:cs="Times New Roman"/>
        </w:rPr>
        <w:t xml:space="preserve"> </w:t>
      </w:r>
      <w:r w:rsidR="001062A1" w:rsidRPr="001062A1">
        <w:rPr>
          <w:rFonts w:ascii="Times New Roman" w:eastAsia="Calibri" w:hAnsi="Times New Roman" w:cs="Times New Roman"/>
          <w:sz w:val="28"/>
          <w:szCs w:val="28"/>
        </w:rPr>
        <w:lastRenderedPageBreak/>
        <w:t>Кедровый (п. Кедровый, с. Елизарово)». По мероприятию заключен муниципальный контракт от 09.02.2021 на сумму 120,5 тыс. рублей.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выполнены. Ведется работа по согласованию документации с федеральными и региональными органами исполнительной власти. Для устранения замечаний, полученных в ходе согласования документации, создана согласительная комиссия по устранению замечаний, которая рассматривает данные замечания и примет меры по их решению. Срок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 по контракту</w:t>
      </w:r>
      <w:r w:rsidR="001062A1" w:rsidRPr="001062A1">
        <w:rPr>
          <w:rFonts w:ascii="Times New Roman" w:eastAsia="Calibri" w:hAnsi="Times New Roman" w:cs="Times New Roman"/>
          <w:sz w:val="28"/>
          <w:szCs w:val="28"/>
        </w:rPr>
        <w:t xml:space="preserve"> 31.12.2021.</w:t>
      </w:r>
    </w:p>
    <w:p w:rsidR="001062A1" w:rsidRDefault="001062A1" w:rsidP="007618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- «Внесение изменений в генеральные планы и правила землепользования и застройки населенных пунктов Ханты-Мансийского района: сельское поселение </w:t>
      </w:r>
      <w:proofErr w:type="spellStart"/>
      <w:r w:rsidRPr="001062A1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 (п. </w:t>
      </w:r>
      <w:proofErr w:type="spellStart"/>
      <w:r w:rsidRPr="001062A1">
        <w:rPr>
          <w:rFonts w:ascii="Times New Roman" w:eastAsia="Calibri" w:hAnsi="Times New Roman" w:cs="Times New Roman"/>
          <w:sz w:val="28"/>
          <w:szCs w:val="28"/>
        </w:rPr>
        <w:t>Луговской</w:t>
      </w:r>
      <w:proofErr w:type="spellEnd"/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, д. Белогорье, п. </w:t>
      </w:r>
      <w:proofErr w:type="gramStart"/>
      <w:r w:rsidRPr="001062A1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, с. Троица, д. </w:t>
      </w:r>
      <w:proofErr w:type="spellStart"/>
      <w:r w:rsidRPr="001062A1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Pr="001062A1">
        <w:rPr>
          <w:rFonts w:ascii="Times New Roman" w:eastAsia="Calibri" w:hAnsi="Times New Roman" w:cs="Times New Roman"/>
          <w:sz w:val="28"/>
          <w:szCs w:val="28"/>
        </w:rPr>
        <w:t>)». По мероприятию заключен муниципальный контракт от 09.02.2021 на сумму 244,3 тыс. рублей. Подрядной организацией работы по внесению изменений в генеральные планы и правила землепользования и застройки в соответствии с условиями контракта выполнены. Ведется работа по согласованию документации с федеральными и региональными органами исполнительной власти. Для устранения замечаний, полученных в ходе согласования документации, создана согласительная комиссия по устранению замечаний, которая рассматривает данные замечания и примет меры по их решению. Срок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 выполнения работ по контракту</w:t>
      </w:r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 31.12.2021.</w:t>
      </w:r>
    </w:p>
    <w:p w:rsidR="001062A1" w:rsidRDefault="001062A1" w:rsidP="00106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- «Выполнение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подтопления)». </w:t>
      </w:r>
      <w:proofErr w:type="gramStart"/>
      <w:r w:rsidRPr="001062A1">
        <w:rPr>
          <w:rFonts w:ascii="Times New Roman" w:eastAsia="Calibri" w:hAnsi="Times New Roman" w:cs="Times New Roman"/>
          <w:sz w:val="28"/>
          <w:szCs w:val="28"/>
        </w:rPr>
        <w:t>В 2020 году заключены 6 муниципальных контрактов от 20.07.2020 на общую сумму 1 090,9 тыс. рублей по следующим населенным пунктам:</w:t>
      </w:r>
      <w:r w:rsidRPr="001062A1">
        <w:rPr>
          <w:rFonts w:ascii="Times New Roman" w:hAnsi="Times New Roman" w:cs="Times New Roman"/>
        </w:rPr>
        <w:t xml:space="preserve"> </w:t>
      </w:r>
      <w:r w:rsidRPr="001062A1">
        <w:rPr>
          <w:rFonts w:ascii="Times New Roman" w:eastAsia="Calibri" w:hAnsi="Times New Roman" w:cs="Times New Roman"/>
          <w:sz w:val="28"/>
          <w:szCs w:val="28"/>
        </w:rPr>
        <w:t>п. Кирпичный, д. Белогорье, с. Елизарово, п. Сибирский, с. Тро</w:t>
      </w:r>
      <w:r w:rsidR="009E5FA3">
        <w:rPr>
          <w:rFonts w:ascii="Times New Roman" w:eastAsia="Calibri" w:hAnsi="Times New Roman" w:cs="Times New Roman"/>
          <w:sz w:val="28"/>
          <w:szCs w:val="28"/>
        </w:rPr>
        <w:t xml:space="preserve">ица, с. </w:t>
      </w:r>
      <w:proofErr w:type="spellStart"/>
      <w:r w:rsidR="009E5FA3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="009E5FA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E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62A1">
        <w:rPr>
          <w:rFonts w:ascii="Times New Roman" w:eastAsia="Calibri" w:hAnsi="Times New Roman" w:cs="Times New Roman"/>
          <w:sz w:val="28"/>
          <w:szCs w:val="28"/>
        </w:rPr>
        <w:t>Исполнение контрактов было приостановлено до ноября 2021 года в связи с отсутствием исходных данных в виде топографической съемки дамб обвалования.</w:t>
      </w:r>
      <w:r w:rsidRPr="001062A1">
        <w:rPr>
          <w:rFonts w:ascii="Times New Roman" w:hAnsi="Times New Roman" w:cs="Times New Roman"/>
        </w:rPr>
        <w:t xml:space="preserve"> </w:t>
      </w:r>
      <w:r w:rsidRPr="001062A1">
        <w:rPr>
          <w:rFonts w:ascii="Times New Roman" w:eastAsia="Calibri" w:hAnsi="Times New Roman" w:cs="Times New Roman"/>
          <w:sz w:val="28"/>
          <w:szCs w:val="28"/>
        </w:rPr>
        <w:t>Указанные исходные данные направлены подрядчику 15.11.2021 для возобновления работ по муниципальному контракту. Работы будут выполнены в 2022 году.</w:t>
      </w:r>
    </w:p>
    <w:p w:rsidR="001062A1" w:rsidRDefault="001062A1" w:rsidP="001062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2A1">
        <w:rPr>
          <w:rFonts w:ascii="Times New Roman" w:eastAsia="Calibri" w:hAnsi="Times New Roman" w:cs="Times New Roman"/>
          <w:sz w:val="28"/>
          <w:szCs w:val="28"/>
        </w:rPr>
        <w:t>В 2021 году заключен муниципальный контракт на выполнение работ по инженерно-геодезическим изысканиям дамб обвалования от 06.08.2021 на сумму 356,9 тыс. рублей. В настоящее время ведется проверка документации. Оплата будет произведена до 10.12.2021 г.</w:t>
      </w:r>
    </w:p>
    <w:p w:rsidR="00337D89" w:rsidRDefault="001062A1" w:rsidP="00BA7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- «Обоснование материалов для внесения изменений в генеральные планы населенных пунктов Ханты-Мансийского района: п. </w:t>
      </w:r>
      <w:proofErr w:type="spellStart"/>
      <w:r w:rsidRPr="001062A1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1062A1">
        <w:rPr>
          <w:rFonts w:ascii="Times New Roman" w:eastAsia="Calibri" w:hAnsi="Times New Roman" w:cs="Times New Roman"/>
          <w:sz w:val="28"/>
          <w:szCs w:val="28"/>
        </w:rPr>
        <w:t xml:space="preserve"> (корректировка границ зон затопления, подтопления). По мероприятию заключен муниципальный контракт от 06.08.2021 на общую сумму 448,0 тыс. рублей. В настоящее время ведется проверка документации.</w:t>
      </w:r>
      <w:r w:rsidR="00337D8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A7D1E" w:rsidRDefault="00BA7D1E" w:rsidP="001F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A7D1E" w:rsidSect="0076189D">
          <w:footerReference w:type="default" r:id="rId7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 xml:space="preserve"> к информации о ходе реализации муниципальной</w:t>
      </w:r>
    </w:p>
    <w:p w:rsidR="002A34B3" w:rsidRPr="002A34B3" w:rsidRDefault="0076189D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программы </w:t>
      </w:r>
      <w:r w:rsidR="002A34B3" w:rsidRPr="002A34B3">
        <w:rPr>
          <w:rFonts w:ascii="Times New Roman" w:hAnsi="Times New Roman" w:cs="Times New Roman"/>
          <w:sz w:val="28"/>
        </w:rPr>
        <w:t>Ханты-Мансийского района «Подготовка</w:t>
      </w: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>перспективных территорий для развития жилищного строительства</w:t>
      </w: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>Ханты-Мансийского района на 2019-2023 годы»</w:t>
      </w: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 xml:space="preserve"> по состоянию на 1 декабря 2021 года</w:t>
      </w:r>
    </w:p>
    <w:p w:rsidR="002A34B3" w:rsidRPr="002A34B3" w:rsidRDefault="002A34B3" w:rsidP="002A34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6189D" w:rsidRDefault="002A34B3" w:rsidP="002A34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 xml:space="preserve">Исполнение муниципальной программы Ханты-Мансийского района «Подготовка перспективных территорий для развития жилищного строительства Ханты-Мансийского района на 2019-2023 годы» в разрезе мероприятий </w:t>
      </w:r>
    </w:p>
    <w:p w:rsidR="002A34B3" w:rsidRPr="002A34B3" w:rsidRDefault="002A34B3" w:rsidP="002A34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A34B3">
        <w:rPr>
          <w:rFonts w:ascii="Times New Roman" w:hAnsi="Times New Roman" w:cs="Times New Roman"/>
          <w:sz w:val="28"/>
        </w:rPr>
        <w:t xml:space="preserve">по состоянию на </w:t>
      </w:r>
      <w:r w:rsidR="0076189D">
        <w:rPr>
          <w:rFonts w:ascii="Times New Roman" w:hAnsi="Times New Roman" w:cs="Times New Roman"/>
          <w:sz w:val="28"/>
        </w:rPr>
        <w:t>01.12.2021</w:t>
      </w:r>
    </w:p>
    <w:tbl>
      <w:tblPr>
        <w:tblpPr w:leftFromText="180" w:rightFromText="180" w:vertAnchor="page" w:horzAnchor="margin" w:tblpY="4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816"/>
        <w:gridCol w:w="2441"/>
        <w:gridCol w:w="2236"/>
        <w:gridCol w:w="1428"/>
        <w:gridCol w:w="1783"/>
        <w:gridCol w:w="3395"/>
      </w:tblGrid>
      <w:tr w:rsidR="00750087" w:rsidRPr="00750087" w:rsidTr="009A66D3">
        <w:trPr>
          <w:trHeight w:val="480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25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39" w:type="pct"/>
            <w:gridSpan w:val="2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148" w:type="pct"/>
            <w:vMerge w:val="restar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Краткий результат реализации мероприятия</w:t>
            </w:r>
          </w:p>
        </w:tc>
      </w:tr>
      <w:tr w:rsidR="00750087" w:rsidRPr="00750087" w:rsidTr="009A66D3">
        <w:trPr>
          <w:trHeight w:val="126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 на 2021 год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603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 Подготовка документации по планировке и межеванию территорий сельских поселений и населенных пунктов Ханты-Мансийского района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1 079,1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91,7</w:t>
            </w:r>
          </w:p>
        </w:tc>
        <w:tc>
          <w:tcPr>
            <w:tcW w:w="1148" w:type="pct"/>
            <w:vMerge w:val="restart"/>
            <w:shd w:val="clear" w:color="auto" w:fill="auto"/>
            <w:noWrap/>
            <w:vAlign w:val="bottom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900,9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900,9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178,2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по планировке и межеванию СП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п. Бобровский, д.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Лугофолинская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1 079,1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Работы выполнены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Внесение изменений в генеральные планы и правила землепользования и застройки населенных пунктов Ханты-Мансийского района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3 498,9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2 684,8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814,1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, с. Тюли)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исполнительной власти. 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п. Бобровский, д.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Лугофилинская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исполнительной власти. 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СП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(с.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Нялино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исполнительной власти. 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застройки СП Шапша (д. Шапша, д. Ярки, с.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исполнительной власти. 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272,7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40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исполнительной власти. 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40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7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генеральные планы и правила землепользования и </w:t>
            </w: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застройки населенных пунктов Ханты-Мансийского района: сельское поселение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(п.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д. Белогорье, п. </w:t>
            </w:r>
            <w:proofErr w:type="gram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, с. Троица, д.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согласованию документации с федеральными и региональными органами </w:t>
            </w: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власти. </w:t>
            </w:r>
          </w:p>
        </w:tc>
      </w:tr>
      <w:tr w:rsidR="00750087" w:rsidRPr="00750087" w:rsidTr="009A66D3">
        <w:trPr>
          <w:trHeight w:val="66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42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82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Выполнение обосновывающих материалов для внесения изменений в генеральные планы населенных пунктов Ханты-Мансийского района (корректировка границ зон затопления, подтопления)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1 546,0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контрактов было приостановлено до ноября 2021 года в связи с отсутствием исходных данных в виде топографической съемки дамб обвалования. Указанные исходные данные направлены подрядчику для возобновления работ.</w:t>
            </w:r>
          </w:p>
        </w:tc>
      </w:tr>
      <w:tr w:rsidR="00750087" w:rsidRPr="00750087" w:rsidTr="009A66D3">
        <w:trPr>
          <w:trHeight w:val="96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1 317,5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87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материалов для внесения изменений в генеральные планы населенных пунктов Ханты-Мансийского района: п. </w:t>
            </w:r>
            <w:proofErr w:type="spellStart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750087">
              <w:rPr>
                <w:rFonts w:ascii="Times New Roman" w:hAnsi="Times New Roman" w:cs="Times New Roman"/>
                <w:sz w:val="24"/>
                <w:szCs w:val="24"/>
              </w:rPr>
              <w:t xml:space="preserve"> (корректировка границ зон затопления, подтопления)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 w:val="restar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Работы выполнены. Оплата будет осуществлена до 10.12.2021 г.</w:t>
            </w:r>
          </w:p>
        </w:tc>
      </w:tr>
      <w:tr w:rsidR="00750087" w:rsidRPr="00750087" w:rsidTr="009A66D3">
        <w:trPr>
          <w:trHeight w:val="630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087" w:rsidRPr="00750087" w:rsidTr="009A66D3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750087" w:rsidRPr="00750087" w:rsidRDefault="00750087" w:rsidP="009F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pct"/>
            <w:vMerge/>
            <w:vAlign w:val="center"/>
            <w:hideMark/>
          </w:tcPr>
          <w:p w:rsidR="00750087" w:rsidRPr="00750087" w:rsidRDefault="00750087" w:rsidP="009F5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D89" w:rsidRDefault="00337D89" w:rsidP="002A3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935" w:rsidRDefault="008A0935" w:rsidP="002A3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11" w:type="pct"/>
        <w:tblLook w:val="04A0" w:firstRow="1" w:lastRow="0" w:firstColumn="1" w:lastColumn="0" w:noHBand="0" w:noVBand="1"/>
      </w:tblPr>
      <w:tblGrid>
        <w:gridCol w:w="621"/>
        <w:gridCol w:w="3053"/>
        <w:gridCol w:w="2001"/>
        <w:gridCol w:w="3139"/>
        <w:gridCol w:w="3142"/>
        <w:gridCol w:w="2863"/>
      </w:tblGrid>
      <w:tr w:rsidR="00972258" w:rsidRPr="00972258" w:rsidTr="00526E1F">
        <w:trPr>
          <w:trHeight w:val="1290"/>
        </w:trPr>
        <w:tc>
          <w:tcPr>
            <w:tcW w:w="21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4"/>
            <w:vMerge w:val="restart"/>
            <w:shd w:val="clear" w:color="auto" w:fill="auto"/>
            <w:vAlign w:val="center"/>
            <w:hideMark/>
          </w:tcPr>
          <w:p w:rsidR="00972258" w:rsidRPr="00972258" w:rsidRDefault="00526E1F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972258" w:rsidRPr="00972258" w:rsidRDefault="00972258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информации о ходе реализации муниципальной</w:t>
            </w:r>
          </w:p>
          <w:p w:rsidR="00972258" w:rsidRPr="00972258" w:rsidRDefault="0076189D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r w:rsidR="00972258"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Ханты-Мансийского района «Подготовка</w:t>
            </w:r>
          </w:p>
          <w:p w:rsidR="00972258" w:rsidRPr="00972258" w:rsidRDefault="00972258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перспективных территорий для развития жилищного строительства</w:t>
            </w:r>
          </w:p>
          <w:p w:rsidR="00972258" w:rsidRPr="00972258" w:rsidRDefault="00972258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Ханты-Мансийского района на 2019-2023 годы»</w:t>
            </w:r>
          </w:p>
          <w:p w:rsidR="00972258" w:rsidRPr="00972258" w:rsidRDefault="00972258" w:rsidP="00972258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состоянию на 1 декабря 2021 года</w:t>
            </w:r>
          </w:p>
        </w:tc>
      </w:tr>
      <w:tr w:rsidR="00972258" w:rsidRPr="00972258" w:rsidTr="00526E1F">
        <w:trPr>
          <w:trHeight w:val="308"/>
        </w:trPr>
        <w:tc>
          <w:tcPr>
            <w:tcW w:w="21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4"/>
            <w:vMerge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258" w:rsidRPr="00972258" w:rsidTr="00526E1F">
        <w:trPr>
          <w:trHeight w:val="294"/>
        </w:trPr>
        <w:tc>
          <w:tcPr>
            <w:tcW w:w="21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4"/>
            <w:vMerge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258" w:rsidRPr="00972258" w:rsidTr="00526E1F">
        <w:trPr>
          <w:trHeight w:val="124"/>
        </w:trPr>
        <w:tc>
          <w:tcPr>
            <w:tcW w:w="21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4"/>
            <w:vMerge/>
            <w:vAlign w:val="center"/>
            <w:hideMark/>
          </w:tcPr>
          <w:p w:rsidR="00972258" w:rsidRPr="00972258" w:rsidRDefault="00972258" w:rsidP="009722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2258" w:rsidRPr="00972258" w:rsidTr="00526E1F">
        <w:trPr>
          <w:trHeight w:val="294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722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6E1F" w:rsidRDefault="00972258" w:rsidP="00972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целевых показателей по состоянию на 01.12.2021</w:t>
            </w:r>
          </w:p>
          <w:p w:rsidR="00972258" w:rsidRPr="00972258" w:rsidRDefault="00972258" w:rsidP="009722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72258" w:rsidRPr="00972258" w:rsidTr="00526E1F">
        <w:trPr>
          <w:trHeight w:val="777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 на 2021 год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по состоянию на 01.12.2021 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972258" w:rsidRPr="00972258" w:rsidTr="00526E1F">
        <w:trPr>
          <w:trHeight w:val="45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258" w:rsidRPr="00972258" w:rsidTr="00526E1F">
        <w:trPr>
          <w:trHeight w:val="29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2258" w:rsidRPr="00972258" w:rsidTr="00526E1F">
        <w:trPr>
          <w:trHeight w:val="48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ввода жилья, тыс. </w:t>
            </w:r>
            <w:proofErr w:type="spellStart"/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972258" w:rsidRPr="00972258" w:rsidTr="00526E1F">
        <w:trPr>
          <w:trHeight w:val="67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границ территориальных зон и границ населенных пунктов, поставленных на кадастровый учет, процент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2258" w:rsidRPr="00972258" w:rsidTr="00526E1F">
        <w:trPr>
          <w:trHeight w:val="982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процент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72258" w:rsidRPr="00972258" w:rsidTr="00526E1F">
        <w:trPr>
          <w:trHeight w:val="115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услуг в электронном виде в общем количестве предоставленных услуг по выдаче разрешения на строительство, процент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58" w:rsidRPr="00972258" w:rsidRDefault="00972258" w:rsidP="009F5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72258" w:rsidRPr="00972258" w:rsidRDefault="00972258" w:rsidP="00526E1F">
      <w:pPr>
        <w:rPr>
          <w:rFonts w:ascii="Times New Roman" w:hAnsi="Times New Roman" w:cs="Times New Roman"/>
          <w:sz w:val="24"/>
          <w:szCs w:val="24"/>
        </w:rPr>
      </w:pPr>
    </w:p>
    <w:sectPr w:rsidR="00972258" w:rsidRPr="00972258" w:rsidSect="006A420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98" w:rsidRDefault="005F1198" w:rsidP="00027DA0">
      <w:pPr>
        <w:spacing w:after="0" w:line="240" w:lineRule="auto"/>
      </w:pPr>
      <w:r>
        <w:separator/>
      </w:r>
    </w:p>
  </w:endnote>
  <w:endnote w:type="continuationSeparator" w:id="0">
    <w:p w:rsidR="005F1198" w:rsidRDefault="005F1198" w:rsidP="0002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9419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E05" w:rsidRPr="0076189D" w:rsidRDefault="004C4E0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618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18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18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AE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618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98" w:rsidRDefault="005F1198" w:rsidP="00027DA0">
      <w:pPr>
        <w:spacing w:after="0" w:line="240" w:lineRule="auto"/>
      </w:pPr>
      <w:r>
        <w:separator/>
      </w:r>
    </w:p>
  </w:footnote>
  <w:footnote w:type="continuationSeparator" w:id="0">
    <w:p w:rsidR="005F1198" w:rsidRDefault="005F1198" w:rsidP="00027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7"/>
    <w:rsid w:val="00027DA0"/>
    <w:rsid w:val="0005713F"/>
    <w:rsid w:val="000D742B"/>
    <w:rsid w:val="001062A1"/>
    <w:rsid w:val="001E3D9B"/>
    <w:rsid w:val="001F1F98"/>
    <w:rsid w:val="002049B4"/>
    <w:rsid w:val="0023133F"/>
    <w:rsid w:val="00285A3F"/>
    <w:rsid w:val="00292D47"/>
    <w:rsid w:val="002A34B3"/>
    <w:rsid w:val="002C1AE0"/>
    <w:rsid w:val="002F5ADA"/>
    <w:rsid w:val="00304492"/>
    <w:rsid w:val="0032695B"/>
    <w:rsid w:val="00337D89"/>
    <w:rsid w:val="00343304"/>
    <w:rsid w:val="00377290"/>
    <w:rsid w:val="003905D1"/>
    <w:rsid w:val="00411E4A"/>
    <w:rsid w:val="00462643"/>
    <w:rsid w:val="00482ED5"/>
    <w:rsid w:val="004B5F19"/>
    <w:rsid w:val="004C4E05"/>
    <w:rsid w:val="004D0337"/>
    <w:rsid w:val="005054A1"/>
    <w:rsid w:val="005056B9"/>
    <w:rsid w:val="00516752"/>
    <w:rsid w:val="00526E1F"/>
    <w:rsid w:val="005427D4"/>
    <w:rsid w:val="00545E63"/>
    <w:rsid w:val="00551888"/>
    <w:rsid w:val="005B2DF2"/>
    <w:rsid w:val="005F1198"/>
    <w:rsid w:val="00653B85"/>
    <w:rsid w:val="006A4207"/>
    <w:rsid w:val="006B6AD3"/>
    <w:rsid w:val="007368F3"/>
    <w:rsid w:val="00750087"/>
    <w:rsid w:val="0076189D"/>
    <w:rsid w:val="007806AD"/>
    <w:rsid w:val="00781BC5"/>
    <w:rsid w:val="0079792A"/>
    <w:rsid w:val="00797BEA"/>
    <w:rsid w:val="007A74DB"/>
    <w:rsid w:val="00807BF7"/>
    <w:rsid w:val="008A0935"/>
    <w:rsid w:val="008E4DD7"/>
    <w:rsid w:val="00972258"/>
    <w:rsid w:val="00974C06"/>
    <w:rsid w:val="009A66D3"/>
    <w:rsid w:val="009C709E"/>
    <w:rsid w:val="009D1B7C"/>
    <w:rsid w:val="009E5FA3"/>
    <w:rsid w:val="00A64B28"/>
    <w:rsid w:val="00B32579"/>
    <w:rsid w:val="00B75370"/>
    <w:rsid w:val="00BA7D1E"/>
    <w:rsid w:val="00BC196C"/>
    <w:rsid w:val="00C5043C"/>
    <w:rsid w:val="00D2178D"/>
    <w:rsid w:val="00D67567"/>
    <w:rsid w:val="00D71DAC"/>
    <w:rsid w:val="00D84799"/>
    <w:rsid w:val="00DB6D5C"/>
    <w:rsid w:val="00DE45A9"/>
    <w:rsid w:val="00E82AEF"/>
    <w:rsid w:val="00F1559B"/>
    <w:rsid w:val="00F16225"/>
    <w:rsid w:val="00F22DCD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DA0"/>
  </w:style>
  <w:style w:type="paragraph" w:styleId="a5">
    <w:name w:val="footer"/>
    <w:basedOn w:val="a"/>
    <w:link w:val="a6"/>
    <w:uiPriority w:val="99"/>
    <w:unhideWhenUsed/>
    <w:rsid w:val="0002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DA0"/>
  </w:style>
  <w:style w:type="paragraph" w:styleId="a7">
    <w:name w:val="Balloon Text"/>
    <w:basedOn w:val="a"/>
    <w:link w:val="a8"/>
    <w:uiPriority w:val="99"/>
    <w:semiHidden/>
    <w:unhideWhenUsed/>
    <w:rsid w:val="005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DA0"/>
  </w:style>
  <w:style w:type="paragraph" w:styleId="a5">
    <w:name w:val="footer"/>
    <w:basedOn w:val="a"/>
    <w:link w:val="a6"/>
    <w:uiPriority w:val="99"/>
    <w:unhideWhenUsed/>
    <w:rsid w:val="0002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DA0"/>
  </w:style>
  <w:style w:type="paragraph" w:styleId="a7">
    <w:name w:val="Balloon Text"/>
    <w:basedOn w:val="a"/>
    <w:link w:val="a8"/>
    <w:uiPriority w:val="99"/>
    <w:semiHidden/>
    <w:unhideWhenUsed/>
    <w:rsid w:val="0052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Тодрия</dc:creator>
  <cp:keywords/>
  <dc:description/>
  <cp:lastModifiedBy>Халикова Светлана</cp:lastModifiedBy>
  <cp:revision>30</cp:revision>
  <cp:lastPrinted>2021-12-24T10:03:00Z</cp:lastPrinted>
  <dcterms:created xsi:type="dcterms:W3CDTF">2021-12-23T11:10:00Z</dcterms:created>
  <dcterms:modified xsi:type="dcterms:W3CDTF">2021-12-24T12:15:00Z</dcterms:modified>
</cp:coreProperties>
</file>